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8242" w14:textId="77777777" w:rsidR="00CE43E2" w:rsidRPr="001D2755" w:rsidRDefault="00CE43E2">
      <w:pPr>
        <w:pStyle w:val="A1"/>
      </w:pPr>
    </w:p>
    <w:p w14:paraId="3AE5212D" w14:textId="77777777" w:rsidR="00CE43E2" w:rsidRPr="001D2755" w:rsidRDefault="00CE43E2">
      <w:pPr>
        <w:pStyle w:val="A1"/>
      </w:pPr>
    </w:p>
    <w:p w14:paraId="0336974A" w14:textId="77777777" w:rsidR="00CE43E2" w:rsidRPr="001D2755" w:rsidRDefault="00CE43E2">
      <w:pPr>
        <w:pStyle w:val="A1"/>
        <w:rPr>
          <w:rFonts w:ascii="Montserrat Light" w:hAnsi="Montserrat Light"/>
          <w:sz w:val="22"/>
          <w:szCs w:val="22"/>
        </w:rPr>
      </w:pPr>
    </w:p>
    <w:tbl>
      <w:tblPr>
        <w:tblStyle w:val="TableNormal1"/>
        <w:tblW w:w="9147"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95"/>
        <w:gridCol w:w="992"/>
        <w:gridCol w:w="3260"/>
      </w:tblGrid>
      <w:tr w:rsidR="00CE43E2" w:rsidRPr="001D2755" w14:paraId="30F47197" w14:textId="77777777" w:rsidTr="001D2755">
        <w:trPr>
          <w:trHeight w:val="300"/>
        </w:trPr>
        <w:tc>
          <w:tcPr>
            <w:tcW w:w="4895" w:type="dxa"/>
            <w:tcBorders>
              <w:top w:val="nil"/>
              <w:left w:val="nil"/>
              <w:bottom w:val="nil"/>
              <w:right w:val="nil"/>
            </w:tcBorders>
            <w:shd w:val="clear" w:color="auto" w:fill="auto"/>
            <w:tcMar>
              <w:top w:w="80" w:type="dxa"/>
              <w:left w:w="137" w:type="dxa"/>
              <w:bottom w:w="80" w:type="dxa"/>
              <w:right w:w="80" w:type="dxa"/>
            </w:tcMar>
          </w:tcPr>
          <w:p w14:paraId="6056A07D" w14:textId="0E57A6B4" w:rsidR="00CE43E2" w:rsidRPr="001D2755" w:rsidRDefault="00291E4B">
            <w:pPr>
              <w:pStyle w:val="A1"/>
              <w:ind w:left="57"/>
            </w:pPr>
            <w:r>
              <w:rPr>
                <w:rFonts w:ascii="Montserrat Light" w:hAnsi="Montserrat Light"/>
                <w:color w:val="222222"/>
                <w:sz w:val="22"/>
                <w:szCs w:val="22"/>
                <w:u w:color="222222"/>
              </w:rPr>
              <w:t xml:space="preserve">Majandus- ja </w:t>
            </w:r>
            <w:r w:rsidR="007B437B">
              <w:rPr>
                <w:rFonts w:ascii="Montserrat Light" w:hAnsi="Montserrat Light"/>
                <w:color w:val="222222"/>
                <w:sz w:val="22"/>
                <w:szCs w:val="22"/>
                <w:u w:color="222222"/>
              </w:rPr>
              <w:t>Kommunikatsiooniministeerium</w:t>
            </w:r>
          </w:p>
        </w:tc>
        <w:tc>
          <w:tcPr>
            <w:tcW w:w="992" w:type="dxa"/>
            <w:tcBorders>
              <w:top w:val="nil"/>
              <w:left w:val="nil"/>
              <w:bottom w:val="nil"/>
              <w:right w:val="nil"/>
            </w:tcBorders>
            <w:shd w:val="clear" w:color="auto" w:fill="auto"/>
            <w:tcMar>
              <w:top w:w="80" w:type="dxa"/>
              <w:left w:w="137" w:type="dxa"/>
              <w:bottom w:w="80" w:type="dxa"/>
              <w:right w:w="80" w:type="dxa"/>
            </w:tcMar>
          </w:tcPr>
          <w:p w14:paraId="352A366A" w14:textId="77777777" w:rsidR="00291E4B" w:rsidRDefault="00291E4B">
            <w:pPr>
              <w:pStyle w:val="A1"/>
              <w:ind w:left="57"/>
              <w:rPr>
                <w:rFonts w:ascii="Montserrat Light" w:hAnsi="Montserrat Light"/>
                <w:sz w:val="22"/>
                <w:szCs w:val="22"/>
              </w:rPr>
            </w:pPr>
          </w:p>
          <w:p w14:paraId="7657B480" w14:textId="1B5208D9" w:rsidR="00CE43E2" w:rsidRPr="001D2755" w:rsidRDefault="00182389">
            <w:pPr>
              <w:pStyle w:val="A1"/>
              <w:ind w:left="57"/>
            </w:pPr>
            <w:r w:rsidRPr="001D2755">
              <w:rPr>
                <w:rFonts w:ascii="Montserrat Light" w:hAnsi="Montserrat Light"/>
                <w:sz w:val="22"/>
                <w:szCs w:val="22"/>
              </w:rPr>
              <w:t>Teie</w:t>
            </w:r>
          </w:p>
        </w:tc>
        <w:tc>
          <w:tcPr>
            <w:tcW w:w="3260" w:type="dxa"/>
            <w:tcBorders>
              <w:top w:val="nil"/>
              <w:left w:val="nil"/>
              <w:bottom w:val="nil"/>
              <w:right w:val="nil"/>
            </w:tcBorders>
            <w:shd w:val="clear" w:color="auto" w:fill="auto"/>
            <w:tcMar>
              <w:top w:w="80" w:type="dxa"/>
              <w:left w:w="80" w:type="dxa"/>
              <w:bottom w:w="80" w:type="dxa"/>
              <w:right w:w="80" w:type="dxa"/>
            </w:tcMar>
          </w:tcPr>
          <w:p w14:paraId="66D743A5" w14:textId="77777777" w:rsidR="00291E4B" w:rsidRDefault="00291E4B">
            <w:pPr>
              <w:pStyle w:val="A1"/>
              <w:rPr>
                <w:rFonts w:ascii="Montserrat Light" w:hAnsi="Montserrat Light"/>
                <w:sz w:val="22"/>
                <w:szCs w:val="22"/>
              </w:rPr>
            </w:pPr>
          </w:p>
          <w:p w14:paraId="1DB48238" w14:textId="2F764239" w:rsidR="00CE43E2" w:rsidRPr="001D2755" w:rsidRDefault="00291E4B">
            <w:pPr>
              <w:pStyle w:val="A1"/>
            </w:pPr>
            <w:r>
              <w:rPr>
                <w:rFonts w:ascii="Montserrat Light" w:hAnsi="Montserrat Light"/>
                <w:sz w:val="22"/>
                <w:szCs w:val="22"/>
              </w:rPr>
              <w:t>03.04.2025</w:t>
            </w:r>
          </w:p>
        </w:tc>
      </w:tr>
      <w:tr w:rsidR="00CE43E2" w:rsidRPr="001D2755" w14:paraId="325B4D99" w14:textId="77777777" w:rsidTr="001D2755">
        <w:trPr>
          <w:trHeight w:val="300"/>
        </w:trPr>
        <w:tc>
          <w:tcPr>
            <w:tcW w:w="4895" w:type="dxa"/>
            <w:tcBorders>
              <w:top w:val="nil"/>
              <w:left w:val="nil"/>
              <w:bottom w:val="nil"/>
              <w:right w:val="nil"/>
            </w:tcBorders>
            <w:shd w:val="clear" w:color="auto" w:fill="auto"/>
            <w:tcMar>
              <w:top w:w="80" w:type="dxa"/>
              <w:left w:w="137" w:type="dxa"/>
              <w:bottom w:w="80" w:type="dxa"/>
              <w:right w:w="80" w:type="dxa"/>
            </w:tcMar>
          </w:tcPr>
          <w:p w14:paraId="2CB68021" w14:textId="1451960B" w:rsidR="00CE43E2" w:rsidRPr="001D2755" w:rsidRDefault="00291E4B">
            <w:pPr>
              <w:pStyle w:val="A1"/>
              <w:ind w:left="57"/>
            </w:pPr>
            <w:r>
              <w:rPr>
                <w:rFonts w:ascii="Montserrat Light" w:hAnsi="Montserrat Light"/>
                <w:color w:val="0000FF"/>
                <w:sz w:val="22"/>
                <w:szCs w:val="22"/>
                <w:u w:val="single" w:color="0000FF"/>
              </w:rPr>
              <w:t>info@mkm.ee</w:t>
            </w:r>
            <w:r w:rsidR="00182389" w:rsidRPr="001D2755">
              <w:rPr>
                <w:rFonts w:ascii="Montserrat Light" w:hAnsi="Montserrat Light"/>
                <w:sz w:val="22"/>
                <w:szCs w:val="22"/>
              </w:rPr>
              <w:t xml:space="preserve">   </w:t>
            </w:r>
          </w:p>
        </w:tc>
        <w:tc>
          <w:tcPr>
            <w:tcW w:w="992" w:type="dxa"/>
            <w:tcBorders>
              <w:top w:val="nil"/>
              <w:left w:val="nil"/>
              <w:bottom w:val="nil"/>
              <w:right w:val="nil"/>
            </w:tcBorders>
            <w:shd w:val="clear" w:color="auto" w:fill="auto"/>
            <w:tcMar>
              <w:top w:w="80" w:type="dxa"/>
              <w:left w:w="137" w:type="dxa"/>
              <w:bottom w:w="80" w:type="dxa"/>
              <w:right w:w="80" w:type="dxa"/>
            </w:tcMar>
          </w:tcPr>
          <w:p w14:paraId="705E3665" w14:textId="77777777" w:rsidR="00CE43E2" w:rsidRPr="001D2755" w:rsidRDefault="00182389">
            <w:pPr>
              <w:pStyle w:val="A1"/>
              <w:ind w:left="57"/>
            </w:pPr>
            <w:r w:rsidRPr="001D2755">
              <w:rPr>
                <w:rFonts w:ascii="Montserrat Light" w:hAnsi="Montserrat Light"/>
                <w:sz w:val="22"/>
                <w:szCs w:val="22"/>
              </w:rPr>
              <w:t xml:space="preserve">Meie   </w:t>
            </w:r>
          </w:p>
        </w:tc>
        <w:tc>
          <w:tcPr>
            <w:tcW w:w="3260" w:type="dxa"/>
            <w:tcBorders>
              <w:top w:val="nil"/>
              <w:left w:val="nil"/>
              <w:bottom w:val="nil"/>
              <w:right w:val="nil"/>
            </w:tcBorders>
            <w:shd w:val="clear" w:color="auto" w:fill="auto"/>
            <w:tcMar>
              <w:top w:w="80" w:type="dxa"/>
              <w:left w:w="80" w:type="dxa"/>
              <w:bottom w:w="80" w:type="dxa"/>
              <w:right w:w="110" w:type="dxa"/>
            </w:tcMar>
          </w:tcPr>
          <w:p w14:paraId="48A4FCCB" w14:textId="14A8F4F0" w:rsidR="00291E4B" w:rsidRPr="00291E4B" w:rsidRDefault="00291E4B" w:rsidP="00291E4B">
            <w:pPr>
              <w:pStyle w:val="A1"/>
              <w:ind w:right="30"/>
            </w:pPr>
            <w:r>
              <w:rPr>
                <w:rFonts w:ascii="Montserrat Light" w:hAnsi="Montserrat Light"/>
                <w:sz w:val="22"/>
                <w:szCs w:val="22"/>
              </w:rPr>
              <w:t>21.04.</w:t>
            </w:r>
            <w:r w:rsidRPr="00291E4B">
              <w:rPr>
                <w:rFonts w:ascii="Montserrat Light" w:hAnsi="Montserrat Light"/>
                <w:sz w:val="22"/>
                <w:szCs w:val="22"/>
              </w:rPr>
              <w:t xml:space="preserve">2024 nr </w:t>
            </w:r>
            <w:r w:rsidRPr="00291E4B">
              <w:rPr>
                <w:rFonts w:ascii="Montserrat Light" w:hAnsi="Montserrat Light" w:cs="Arial"/>
                <w:color w:val="505050"/>
                <w:sz w:val="22"/>
                <w:szCs w:val="22"/>
              </w:rPr>
              <w:t>4.2-17/3588-1</w:t>
            </w:r>
          </w:p>
          <w:p w14:paraId="6959BAAC" w14:textId="5EC204B6" w:rsidR="00CE43E2" w:rsidRPr="001D2755" w:rsidRDefault="00CE43E2">
            <w:pPr>
              <w:pStyle w:val="A1"/>
              <w:ind w:right="30"/>
            </w:pPr>
          </w:p>
        </w:tc>
      </w:tr>
    </w:tbl>
    <w:p w14:paraId="73BCBCBF" w14:textId="77777777" w:rsidR="00CE43E2" w:rsidRPr="001D2755" w:rsidRDefault="00CE43E2">
      <w:pPr>
        <w:pStyle w:val="A1"/>
        <w:widowControl w:val="0"/>
        <w:ind w:left="108" w:hanging="108"/>
        <w:rPr>
          <w:rFonts w:ascii="Montserrat Light" w:eastAsia="Montserrat Light" w:hAnsi="Montserrat Light" w:cs="Montserrat Light"/>
          <w:sz w:val="22"/>
          <w:szCs w:val="22"/>
        </w:rPr>
      </w:pPr>
    </w:p>
    <w:p w14:paraId="2AA1E73F" w14:textId="77777777" w:rsidR="00CE43E2" w:rsidRPr="001D2755" w:rsidRDefault="00CE43E2">
      <w:pPr>
        <w:pStyle w:val="A1"/>
        <w:widowControl w:val="0"/>
        <w:rPr>
          <w:rFonts w:ascii="Montserrat Light" w:eastAsia="Montserrat Light" w:hAnsi="Montserrat Light" w:cs="Montserrat Light"/>
          <w:sz w:val="22"/>
          <w:szCs w:val="22"/>
        </w:rPr>
      </w:pPr>
    </w:p>
    <w:p w14:paraId="2031191B" w14:textId="77777777" w:rsidR="00CE43E2" w:rsidRPr="001D2755" w:rsidRDefault="00CE43E2">
      <w:pPr>
        <w:pStyle w:val="Lihttekst"/>
        <w:rPr>
          <w:rFonts w:ascii="Montserrat Light" w:eastAsia="Montserrat Light" w:hAnsi="Montserrat Light" w:cs="Montserrat Light"/>
          <w:lang w:val="et-EE"/>
        </w:rPr>
      </w:pPr>
    </w:p>
    <w:p w14:paraId="1BD60BAF" w14:textId="77777777" w:rsidR="00CE43E2" w:rsidRPr="001D2755" w:rsidRDefault="00CE43E2">
      <w:pPr>
        <w:pStyle w:val="Lihttekst"/>
        <w:rPr>
          <w:rFonts w:ascii="Montserrat Light" w:eastAsia="Montserrat Light" w:hAnsi="Montserrat Light" w:cs="Montserrat Light"/>
          <w:lang w:val="et-EE"/>
        </w:rPr>
      </w:pPr>
    </w:p>
    <w:p w14:paraId="04337405" w14:textId="3544FD47" w:rsidR="00CE43E2" w:rsidRPr="001C1DEA" w:rsidRDefault="00291E4B">
      <w:pPr>
        <w:pStyle w:val="A1"/>
        <w:rPr>
          <w:rFonts w:ascii="Montserrat Light" w:eastAsia="Montserrat Bold" w:hAnsi="Montserrat Light" w:cs="Montserrat Bold"/>
          <w:b/>
          <w:bCs/>
          <w:color w:val="166886"/>
          <w:u w:color="166886"/>
        </w:rPr>
      </w:pPr>
      <w:r w:rsidRPr="001C1DEA">
        <w:rPr>
          <w:rFonts w:ascii="Montserrat Light" w:hAnsi="Montserrat Light"/>
          <w:b/>
          <w:bCs/>
          <w:color w:val="166886"/>
          <w:u w:color="166886"/>
        </w:rPr>
        <w:t>Infokorje</w:t>
      </w:r>
    </w:p>
    <w:p w14:paraId="44F68C47" w14:textId="77777777" w:rsidR="00CE43E2" w:rsidRPr="001D2755" w:rsidRDefault="00CE43E2">
      <w:pPr>
        <w:pStyle w:val="A1"/>
        <w:rPr>
          <w:rFonts w:ascii="Montserrat Light" w:eastAsia="Montserrat Light" w:hAnsi="Montserrat Light" w:cs="Montserrat Light"/>
          <w:sz w:val="22"/>
          <w:szCs w:val="22"/>
        </w:rPr>
      </w:pPr>
    </w:p>
    <w:p w14:paraId="272FBA43" w14:textId="77777777" w:rsidR="00CE43E2" w:rsidRPr="00291E4B" w:rsidRDefault="00CE43E2" w:rsidP="00733D75">
      <w:pPr>
        <w:pStyle w:val="A1"/>
        <w:spacing w:line="276" w:lineRule="auto"/>
        <w:jc w:val="both"/>
        <w:rPr>
          <w:rFonts w:ascii="Montserrat Light" w:eastAsia="Montserrat Light" w:hAnsi="Montserrat Light" w:cs="Montserrat Light"/>
          <w:sz w:val="22"/>
          <w:szCs w:val="22"/>
        </w:rPr>
      </w:pPr>
    </w:p>
    <w:p w14:paraId="6D0954AF" w14:textId="30A262D6" w:rsidR="00CE43E2" w:rsidRPr="00291E4B" w:rsidRDefault="00291E4B" w:rsidP="00733D75">
      <w:pPr>
        <w:pStyle w:val="A1"/>
        <w:spacing w:line="276" w:lineRule="auto"/>
        <w:jc w:val="both"/>
        <w:rPr>
          <w:rFonts w:ascii="Montserrat Light" w:eastAsia="Montserrat Light" w:hAnsi="Montserrat Light" w:cs="Montserrat Light"/>
          <w:sz w:val="22"/>
          <w:szCs w:val="22"/>
          <w:u w:color="166886"/>
        </w:rPr>
      </w:pPr>
      <w:r w:rsidRPr="00291E4B">
        <w:rPr>
          <w:rFonts w:ascii="Montserrat Light" w:hAnsi="Montserrat Light"/>
          <w:sz w:val="22"/>
          <w:szCs w:val="22"/>
          <w:u w:color="166886"/>
        </w:rPr>
        <w:t xml:space="preserve">Vastame </w:t>
      </w:r>
      <w:r w:rsidR="0002315D">
        <w:rPr>
          <w:rFonts w:ascii="Montserrat Light" w:hAnsi="Montserrat Light"/>
          <w:sz w:val="22"/>
          <w:szCs w:val="22"/>
          <w:u w:color="166886"/>
        </w:rPr>
        <w:t>alljärgnevalt T</w:t>
      </w:r>
      <w:r w:rsidRPr="00291E4B">
        <w:rPr>
          <w:rFonts w:ascii="Montserrat Light" w:hAnsi="Montserrat Light"/>
          <w:sz w:val="22"/>
          <w:szCs w:val="22"/>
          <w:u w:color="166886"/>
        </w:rPr>
        <w:t>eie kirja</w:t>
      </w:r>
      <w:r w:rsidR="0002315D">
        <w:rPr>
          <w:rFonts w:ascii="Montserrat Light" w:hAnsi="Montserrat Light"/>
          <w:sz w:val="22"/>
          <w:szCs w:val="22"/>
          <w:u w:color="166886"/>
        </w:rPr>
        <w:t>s toodud küsimustele</w:t>
      </w:r>
      <w:r w:rsidRPr="00291E4B">
        <w:rPr>
          <w:rFonts w:ascii="Montserrat Light" w:hAnsi="Montserrat Light"/>
          <w:sz w:val="22"/>
          <w:szCs w:val="22"/>
          <w:u w:color="166886"/>
        </w:rPr>
        <w:t xml:space="preserve"> punkthaaval</w:t>
      </w:r>
      <w:r w:rsidR="00182389" w:rsidRPr="00291E4B">
        <w:rPr>
          <w:rFonts w:ascii="Montserrat Light" w:hAnsi="Montserrat Light"/>
          <w:sz w:val="22"/>
          <w:szCs w:val="22"/>
          <w:u w:color="166886"/>
        </w:rPr>
        <w:t>:</w:t>
      </w:r>
    </w:p>
    <w:p w14:paraId="1A02AE32" w14:textId="77777777" w:rsidR="00CE43E2" w:rsidRPr="00291E4B" w:rsidRDefault="00182389" w:rsidP="00733D75">
      <w:pPr>
        <w:pStyle w:val="a3"/>
        <w:spacing w:before="0" w:line="276" w:lineRule="auto"/>
        <w:rPr>
          <w:rFonts w:ascii="Helvetica" w:eastAsia="Helvetica" w:hAnsi="Helvetica" w:cs="Helvetica"/>
          <w:sz w:val="22"/>
          <w:szCs w:val="22"/>
          <w:u w:color="166886"/>
        </w:rPr>
      </w:pPr>
      <w:r w:rsidRPr="00291E4B">
        <w:rPr>
          <w:rFonts w:ascii="Helvetica" w:hAnsi="Helvetica"/>
          <w:sz w:val="22"/>
          <w:szCs w:val="22"/>
          <w:u w:color="166886"/>
        </w:rPr>
        <w:t> </w:t>
      </w:r>
    </w:p>
    <w:p w14:paraId="2B71D6E7" w14:textId="14F6C4E1" w:rsidR="00291E4B" w:rsidRPr="0002315D" w:rsidRDefault="00182389" w:rsidP="00733D75">
      <w:pPr>
        <w:pStyle w:val="a3"/>
        <w:numPr>
          <w:ilvl w:val="0"/>
          <w:numId w:val="2"/>
        </w:numPr>
        <w:spacing w:before="0" w:line="276" w:lineRule="auto"/>
        <w:jc w:val="both"/>
        <w:rPr>
          <w:rFonts w:ascii="Montserrat Light" w:hAnsi="Montserrat Light"/>
          <w:sz w:val="22"/>
          <w:szCs w:val="22"/>
        </w:rPr>
      </w:pPr>
      <w:r w:rsidRPr="00291E4B">
        <w:rPr>
          <w:rFonts w:ascii="Montserrat Light" w:hAnsi="Montserrat Light"/>
          <w:sz w:val="22"/>
          <w:szCs w:val="22"/>
          <w:u w:color="166886"/>
        </w:rPr>
        <w:t xml:space="preserve">Narva linn </w:t>
      </w:r>
      <w:r w:rsidR="00291E4B" w:rsidRPr="00291E4B">
        <w:rPr>
          <w:rFonts w:ascii="Montserrat Light" w:hAnsi="Montserrat Light"/>
          <w:sz w:val="22"/>
          <w:szCs w:val="22"/>
          <w:u w:color="166886"/>
        </w:rPr>
        <w:t xml:space="preserve">ei ole </w:t>
      </w:r>
      <w:r w:rsidR="00E23E20">
        <w:rPr>
          <w:rFonts w:ascii="Montserrat Light" w:hAnsi="Montserrat Light"/>
          <w:sz w:val="22"/>
          <w:szCs w:val="22"/>
          <w:u w:color="166886"/>
        </w:rPr>
        <w:t>otseselt</w:t>
      </w:r>
      <w:r w:rsidR="00291E4B" w:rsidRPr="00291E4B">
        <w:rPr>
          <w:rFonts w:ascii="Montserrat Light" w:hAnsi="Montserrat Light"/>
          <w:sz w:val="22"/>
          <w:szCs w:val="22"/>
          <w:u w:color="166886"/>
        </w:rPr>
        <w:t xml:space="preserve"> tegelenud </w:t>
      </w:r>
      <w:r w:rsidR="00291E4B" w:rsidRPr="0002315D">
        <w:rPr>
          <w:rFonts w:ascii="Montserrat Light" w:hAnsi="Montserrat Light"/>
          <w:i/>
          <w:iCs/>
          <w:sz w:val="22"/>
          <w:szCs w:val="22"/>
          <w:u w:color="166886"/>
        </w:rPr>
        <w:t>brownfield</w:t>
      </w:r>
      <w:r w:rsidR="0002315D">
        <w:rPr>
          <w:rFonts w:ascii="Montserrat Light" w:hAnsi="Montserrat Light"/>
          <w:sz w:val="22"/>
          <w:szCs w:val="22"/>
          <w:u w:color="166886"/>
        </w:rPr>
        <w:t xml:space="preserve"> </w:t>
      </w:r>
      <w:r w:rsidR="00291E4B" w:rsidRPr="00291E4B">
        <w:rPr>
          <w:rFonts w:ascii="Montserrat Light" w:hAnsi="Montserrat Light"/>
          <w:sz w:val="22"/>
          <w:szCs w:val="22"/>
          <w:u w:color="166886"/>
        </w:rPr>
        <w:t>alade kaardistamise või analüüsiga</w:t>
      </w:r>
      <w:r w:rsidR="0002315D">
        <w:rPr>
          <w:rFonts w:ascii="Montserrat Light" w:hAnsi="Montserrat Light"/>
          <w:sz w:val="22"/>
          <w:szCs w:val="22"/>
          <w:u w:color="166886"/>
        </w:rPr>
        <w:t>. Küll</w:t>
      </w:r>
      <w:r w:rsidR="00291E4B" w:rsidRPr="00291E4B">
        <w:rPr>
          <w:rFonts w:ascii="Montserrat Light" w:hAnsi="Montserrat Light"/>
          <w:sz w:val="22"/>
          <w:szCs w:val="22"/>
          <w:u w:color="166886"/>
        </w:rPr>
        <w:t xml:space="preserve"> on linna territooriumil asuvad </w:t>
      </w:r>
      <w:r w:rsidR="0002315D">
        <w:rPr>
          <w:rFonts w:ascii="Montserrat Light" w:hAnsi="Montserrat Light"/>
          <w:sz w:val="22"/>
          <w:szCs w:val="22"/>
          <w:u w:color="166886"/>
        </w:rPr>
        <w:t xml:space="preserve">olemasolevad </w:t>
      </w:r>
      <w:r w:rsidR="00291E4B" w:rsidRPr="00291E4B">
        <w:rPr>
          <w:rFonts w:ascii="Montserrat Light" w:hAnsi="Montserrat Light"/>
          <w:sz w:val="22"/>
          <w:szCs w:val="22"/>
          <w:u w:color="166886"/>
        </w:rPr>
        <w:t xml:space="preserve">tööstusalad </w:t>
      </w:r>
      <w:r w:rsidR="00733D75">
        <w:rPr>
          <w:rFonts w:ascii="Montserrat Light" w:hAnsi="Montserrat Light"/>
          <w:sz w:val="22"/>
          <w:szCs w:val="22"/>
          <w:u w:color="166886"/>
        </w:rPr>
        <w:t xml:space="preserve">toodud ja </w:t>
      </w:r>
      <w:r w:rsidR="00291E4B" w:rsidRPr="00291E4B">
        <w:rPr>
          <w:rFonts w:ascii="Montserrat Light" w:hAnsi="Montserrat Light"/>
          <w:sz w:val="22"/>
          <w:szCs w:val="22"/>
          <w:u w:color="166886"/>
        </w:rPr>
        <w:t>analüüsitud nii kehtivas Narva linna tööstuspiirkonna linnaosa üld</w:t>
      </w:r>
      <w:r w:rsidR="00E23E20">
        <w:rPr>
          <w:rFonts w:ascii="Montserrat Light" w:hAnsi="Montserrat Light"/>
          <w:sz w:val="22"/>
          <w:szCs w:val="22"/>
          <w:u w:color="166886"/>
        </w:rPr>
        <w:t>plan</w:t>
      </w:r>
      <w:r w:rsidR="00291E4B" w:rsidRPr="00291E4B">
        <w:rPr>
          <w:rFonts w:ascii="Montserrat Light" w:hAnsi="Montserrat Light"/>
          <w:sz w:val="22"/>
          <w:szCs w:val="22"/>
          <w:u w:color="166886"/>
        </w:rPr>
        <w:t xml:space="preserve">eeringus (AS Pöyry Entec, Narva Linnavolikogu 21.10.2010 nr 143) </w:t>
      </w:r>
      <w:r w:rsidR="00733D75">
        <w:rPr>
          <w:rFonts w:ascii="Montserrat Light" w:hAnsi="Montserrat Light"/>
          <w:sz w:val="22"/>
          <w:szCs w:val="22"/>
          <w:u w:color="166886"/>
        </w:rPr>
        <w:t>kui</w:t>
      </w:r>
      <w:r w:rsidR="00291E4B" w:rsidRPr="00291E4B">
        <w:rPr>
          <w:rFonts w:ascii="Montserrat Light" w:hAnsi="Montserrat Light"/>
          <w:sz w:val="22"/>
          <w:szCs w:val="22"/>
          <w:u w:color="166886"/>
        </w:rPr>
        <w:t xml:space="preserve"> </w:t>
      </w:r>
      <w:r w:rsidR="0002315D">
        <w:rPr>
          <w:rFonts w:ascii="Montserrat Light" w:hAnsi="Montserrat Light"/>
          <w:sz w:val="22"/>
          <w:szCs w:val="22"/>
          <w:u w:color="166886"/>
        </w:rPr>
        <w:t>kehtivas linna üldplaneeringus (</w:t>
      </w:r>
      <w:r w:rsidR="0002315D" w:rsidRPr="0002315D">
        <w:rPr>
          <w:rFonts w:ascii="Montserrat Light" w:hAnsi="Montserrat Light"/>
          <w:sz w:val="22"/>
          <w:szCs w:val="22"/>
          <w:u w:color="166886"/>
        </w:rPr>
        <w:t>AS Entec Eesti</w:t>
      </w:r>
      <w:r w:rsidR="0002315D">
        <w:rPr>
          <w:rFonts w:ascii="Montserrat Light" w:hAnsi="Montserrat Light"/>
          <w:sz w:val="22"/>
          <w:szCs w:val="22"/>
          <w:u w:color="166886"/>
        </w:rPr>
        <w:t xml:space="preserve">, </w:t>
      </w:r>
      <w:r w:rsidR="0002315D" w:rsidRPr="00291E4B">
        <w:rPr>
          <w:rFonts w:ascii="Montserrat Light" w:hAnsi="Montserrat Light"/>
          <w:sz w:val="22"/>
          <w:szCs w:val="22"/>
          <w:u w:color="166886"/>
        </w:rPr>
        <w:t xml:space="preserve">Narva Linnavolikogu </w:t>
      </w:r>
      <w:r w:rsidR="0002315D" w:rsidRPr="0002315D">
        <w:rPr>
          <w:rFonts w:ascii="Montserrat Light" w:hAnsi="Montserrat Light"/>
          <w:sz w:val="22"/>
          <w:szCs w:val="22"/>
          <w:u w:color="166886"/>
        </w:rPr>
        <w:t>24.01.2013 nr 3</w:t>
      </w:r>
      <w:r w:rsidR="0002315D">
        <w:rPr>
          <w:rFonts w:ascii="Montserrat Light" w:hAnsi="Montserrat Light"/>
          <w:sz w:val="22"/>
          <w:szCs w:val="22"/>
          <w:u w:color="166886"/>
        </w:rPr>
        <w:t xml:space="preserve">). Samuti on olemasolevate tööstusalade arendamise vs uute alade loomise teemale keskendutud uues, </w:t>
      </w:r>
      <w:r w:rsidR="00291E4B" w:rsidRPr="00291E4B">
        <w:rPr>
          <w:rFonts w:ascii="Montserrat Light" w:hAnsi="Montserrat Light"/>
          <w:sz w:val="22"/>
          <w:szCs w:val="22"/>
          <w:u w:color="166886"/>
        </w:rPr>
        <w:t xml:space="preserve">Narva Linnavolikogu </w:t>
      </w:r>
      <w:r w:rsidR="00291E4B" w:rsidRPr="00291E4B">
        <w:rPr>
          <w:rFonts w:ascii="Montserrat Light" w:hAnsi="Montserrat Light" w:cs="Times New Roman"/>
          <w:sz w:val="22"/>
          <w:szCs w:val="22"/>
        </w:rPr>
        <w:t>21.03.2024 otsusega nr 15 vastu</w:t>
      </w:r>
      <w:r w:rsidR="002C2DBA">
        <w:rPr>
          <w:rFonts w:ascii="Montserrat Light" w:hAnsi="Montserrat Light" w:cs="Times New Roman"/>
          <w:sz w:val="22"/>
          <w:szCs w:val="22"/>
        </w:rPr>
        <w:t xml:space="preserve"> </w:t>
      </w:r>
      <w:r w:rsidR="00291E4B" w:rsidRPr="00291E4B">
        <w:rPr>
          <w:rFonts w:ascii="Montserrat Light" w:hAnsi="Montserrat Light" w:cs="Times New Roman"/>
          <w:sz w:val="22"/>
          <w:szCs w:val="22"/>
        </w:rPr>
        <w:t>võetud Narva linna üldplaneeringus.</w:t>
      </w:r>
    </w:p>
    <w:p w14:paraId="3E3C7EAE" w14:textId="7D558E9A" w:rsidR="0002315D" w:rsidRPr="00291E4B" w:rsidRDefault="0002315D" w:rsidP="0002315D">
      <w:pPr>
        <w:pStyle w:val="a3"/>
        <w:spacing w:before="0" w:line="276" w:lineRule="auto"/>
        <w:ind w:left="360"/>
        <w:jc w:val="both"/>
        <w:rPr>
          <w:rFonts w:ascii="Montserrat Light" w:hAnsi="Montserrat Light"/>
          <w:sz w:val="22"/>
          <w:szCs w:val="22"/>
        </w:rPr>
      </w:pPr>
      <w:r>
        <w:rPr>
          <w:rFonts w:ascii="Montserrat Light" w:hAnsi="Montserrat Light" w:cs="Times New Roman"/>
          <w:sz w:val="22"/>
          <w:szCs w:val="22"/>
        </w:rPr>
        <w:t xml:space="preserve">Linn on 2010. aastast tööstusalade arendamisel eelistanud juba kasutusel olvaid alasid, mida suure tööstuspärandiga Narvas on niigi juba hulgaliselt. Kahjuks on just riik samal ajal soosinud uute </w:t>
      </w:r>
      <w:r w:rsidR="00265C86">
        <w:rPr>
          <w:rFonts w:ascii="Montserrat Light" w:hAnsi="Montserrat Light" w:cs="Times New Roman"/>
          <w:sz w:val="22"/>
          <w:szCs w:val="22"/>
        </w:rPr>
        <w:t xml:space="preserve">suurte </w:t>
      </w:r>
      <w:r>
        <w:rPr>
          <w:rFonts w:ascii="Montserrat Light" w:hAnsi="Montserrat Light" w:cs="Times New Roman"/>
          <w:sz w:val="22"/>
          <w:szCs w:val="22"/>
        </w:rPr>
        <w:t xml:space="preserve">tööstusalade rajamist </w:t>
      </w:r>
      <w:r w:rsidR="00265C86">
        <w:rPr>
          <w:rFonts w:ascii="Montserrat Light" w:hAnsi="Montserrat Light" w:cs="Times New Roman"/>
          <w:sz w:val="22"/>
          <w:szCs w:val="22"/>
        </w:rPr>
        <w:t>looduslikule haljasmaale läbi riigiomandis olevate maaüksuste andmise tööstusparkidele. Samal ajal kui just suurte riigi äriühingute omandis on hulgaliselt ja iga päevaga aina vähem kasutuses olevaid, looduselt juba varasemalt äravõetud vanu tootmisalasid.</w:t>
      </w:r>
    </w:p>
    <w:p w14:paraId="0FD6942C" w14:textId="77777777" w:rsidR="00265C86" w:rsidRDefault="00733D75" w:rsidP="00265C86">
      <w:pPr>
        <w:pStyle w:val="a3"/>
        <w:numPr>
          <w:ilvl w:val="0"/>
          <w:numId w:val="2"/>
        </w:numPr>
        <w:spacing w:before="0" w:line="276" w:lineRule="auto"/>
        <w:jc w:val="both"/>
        <w:rPr>
          <w:rFonts w:ascii="Montserrat Light" w:hAnsi="Montserrat Light"/>
          <w:sz w:val="22"/>
          <w:szCs w:val="22"/>
        </w:rPr>
      </w:pPr>
      <w:r>
        <w:rPr>
          <w:rFonts w:ascii="Montserrat Light" w:hAnsi="Montserrat Light"/>
          <w:sz w:val="22"/>
          <w:szCs w:val="22"/>
        </w:rPr>
        <w:t xml:space="preserve">Ettevõtluseks sobilikud </w:t>
      </w:r>
      <w:r w:rsidR="00265C86">
        <w:rPr>
          <w:rFonts w:ascii="Montserrat Light" w:hAnsi="Montserrat Light"/>
          <w:sz w:val="22"/>
          <w:szCs w:val="22"/>
        </w:rPr>
        <w:t xml:space="preserve">olemasolevad ja potentsiaalsed uued </w:t>
      </w:r>
      <w:r>
        <w:rPr>
          <w:rFonts w:ascii="Montserrat Light" w:hAnsi="Montserrat Light"/>
          <w:sz w:val="22"/>
          <w:szCs w:val="22"/>
        </w:rPr>
        <w:t xml:space="preserve">alad on analüüsitud ja </w:t>
      </w:r>
      <w:r w:rsidR="00265C86">
        <w:rPr>
          <w:rFonts w:ascii="Montserrat Light" w:hAnsi="Montserrat Light"/>
          <w:sz w:val="22"/>
          <w:szCs w:val="22"/>
        </w:rPr>
        <w:t xml:space="preserve">näidatud kõigis eelnimetatud planeeringutes. Värskeim nägemus neist kajastub </w:t>
      </w:r>
      <w:r>
        <w:rPr>
          <w:rFonts w:ascii="Montserrat Light" w:hAnsi="Montserrat Light"/>
          <w:sz w:val="22"/>
          <w:szCs w:val="22"/>
        </w:rPr>
        <w:t xml:space="preserve"> </w:t>
      </w:r>
      <w:r w:rsidRPr="00291E4B">
        <w:rPr>
          <w:rFonts w:ascii="Montserrat Light" w:hAnsi="Montserrat Light"/>
          <w:sz w:val="22"/>
          <w:szCs w:val="22"/>
          <w:u w:color="166886"/>
        </w:rPr>
        <w:t xml:space="preserve">Narva Linnavolikogu </w:t>
      </w:r>
      <w:r w:rsidRPr="00291E4B">
        <w:rPr>
          <w:rFonts w:ascii="Montserrat Light" w:hAnsi="Montserrat Light" w:cs="Times New Roman"/>
          <w:sz w:val="22"/>
          <w:szCs w:val="22"/>
        </w:rPr>
        <w:t>21.03.2024 otsusega nr 15 vastu</w:t>
      </w:r>
      <w:r w:rsidR="002C2DBA">
        <w:rPr>
          <w:rFonts w:ascii="Montserrat Light" w:hAnsi="Montserrat Light" w:cs="Times New Roman"/>
          <w:sz w:val="22"/>
          <w:szCs w:val="22"/>
        </w:rPr>
        <w:t xml:space="preserve"> </w:t>
      </w:r>
      <w:r w:rsidRPr="00291E4B">
        <w:rPr>
          <w:rFonts w:ascii="Montserrat Light" w:hAnsi="Montserrat Light" w:cs="Times New Roman"/>
          <w:sz w:val="22"/>
          <w:szCs w:val="22"/>
        </w:rPr>
        <w:t xml:space="preserve">võetud </w:t>
      </w:r>
      <w:r w:rsidR="00265C86">
        <w:rPr>
          <w:rFonts w:ascii="Montserrat Light" w:hAnsi="Montserrat Light" w:cs="Times New Roman"/>
          <w:sz w:val="22"/>
          <w:szCs w:val="22"/>
        </w:rPr>
        <w:t xml:space="preserve">uues </w:t>
      </w:r>
      <w:r w:rsidRPr="00291E4B">
        <w:rPr>
          <w:rFonts w:ascii="Montserrat Light" w:hAnsi="Montserrat Light" w:cs="Times New Roman"/>
          <w:sz w:val="22"/>
          <w:szCs w:val="22"/>
        </w:rPr>
        <w:t>Narva linna üldplaneeringus</w:t>
      </w:r>
      <w:r w:rsidR="00E23E20">
        <w:rPr>
          <w:rFonts w:ascii="Montserrat Light" w:hAnsi="Montserrat Light" w:cs="Times New Roman"/>
          <w:sz w:val="22"/>
          <w:szCs w:val="22"/>
        </w:rPr>
        <w:t xml:space="preserve">, mis on kättesaadav üldplaneeringu </w:t>
      </w:r>
      <w:hyperlink r:id="rId7" w:history="1">
        <w:r w:rsidR="00E23E20" w:rsidRPr="00E23E20">
          <w:rPr>
            <w:rStyle w:val="Hperlink"/>
            <w:rFonts w:ascii="Montserrat Light" w:hAnsi="Montserrat Light" w:cs="Times New Roman"/>
            <w:sz w:val="22"/>
            <w:szCs w:val="22"/>
          </w:rPr>
          <w:t>kodulehel</w:t>
        </w:r>
      </w:hyperlink>
      <w:r w:rsidR="00E23E20">
        <w:rPr>
          <w:rFonts w:ascii="Montserrat Light" w:hAnsi="Montserrat Light" w:cs="Times New Roman"/>
          <w:sz w:val="22"/>
          <w:szCs w:val="22"/>
        </w:rPr>
        <w:t>.</w:t>
      </w:r>
    </w:p>
    <w:p w14:paraId="70DEBDD6" w14:textId="5D1BB398" w:rsidR="00AE2D13" w:rsidRDefault="00AE2D13" w:rsidP="00AE2D13">
      <w:pPr>
        <w:pStyle w:val="a3"/>
        <w:spacing w:before="0" w:line="276" w:lineRule="auto"/>
        <w:ind w:left="360"/>
        <w:jc w:val="both"/>
        <w:rPr>
          <w:rFonts w:ascii="Montserrat Light" w:hAnsi="Montserrat Light" w:cs="Times New Roman"/>
          <w:sz w:val="22"/>
          <w:szCs w:val="22"/>
        </w:rPr>
      </w:pPr>
      <w:r>
        <w:rPr>
          <w:rFonts w:ascii="Montserrat Light" w:hAnsi="Montserrat Light"/>
          <w:sz w:val="22"/>
          <w:szCs w:val="22"/>
        </w:rPr>
        <w:t>Erinevalt varasemate üldplaneeringute juhtotstarvete käsitlustest ei ole uues üldplaneeringus enam vaid tootmismaa juhtotstarvet. Kõrvuti tavapärase lähenemisega ä</w:t>
      </w:r>
      <w:r w:rsidR="00733D75" w:rsidRPr="00265C86">
        <w:rPr>
          <w:rFonts w:ascii="Montserrat Light" w:hAnsi="Montserrat Light" w:cs="Times New Roman"/>
          <w:sz w:val="22"/>
          <w:szCs w:val="22"/>
        </w:rPr>
        <w:t>ri maa-ala</w:t>
      </w:r>
      <w:r w:rsidR="000E481C" w:rsidRPr="00265C86">
        <w:rPr>
          <w:rFonts w:ascii="Montserrat Light" w:hAnsi="Montserrat Light" w:cs="Times New Roman"/>
          <w:sz w:val="22"/>
          <w:szCs w:val="22"/>
        </w:rPr>
        <w:t>d</w:t>
      </w:r>
      <w:r>
        <w:rPr>
          <w:rFonts w:ascii="Montserrat Light" w:hAnsi="Montserrat Light" w:cs="Times New Roman"/>
          <w:sz w:val="22"/>
          <w:szCs w:val="22"/>
        </w:rPr>
        <w:t>ega</w:t>
      </w:r>
      <w:r w:rsidR="00733D75" w:rsidRPr="00265C86">
        <w:rPr>
          <w:rFonts w:ascii="Montserrat Light" w:hAnsi="Montserrat Light" w:cs="Times New Roman"/>
          <w:sz w:val="22"/>
          <w:szCs w:val="22"/>
        </w:rPr>
        <w:t xml:space="preserve"> (</w:t>
      </w:r>
      <w:r>
        <w:rPr>
          <w:rFonts w:ascii="Montserrat Light" w:hAnsi="Montserrat Light" w:cs="Times New Roman"/>
          <w:sz w:val="22"/>
          <w:szCs w:val="22"/>
        </w:rPr>
        <w:t xml:space="preserve">B – </w:t>
      </w:r>
      <w:r w:rsidR="000E481C" w:rsidRPr="00265C86">
        <w:rPr>
          <w:rFonts w:ascii="Montserrat Light" w:hAnsi="Montserrat Light" w:cs="Times New Roman"/>
          <w:sz w:val="22"/>
          <w:szCs w:val="22"/>
        </w:rPr>
        <w:t>äri-, teenindus-, kaubandus-</w:t>
      </w:r>
    </w:p>
    <w:p w14:paraId="3E1FEC0F" w14:textId="77777777" w:rsidR="00AE2D13" w:rsidRDefault="00AE2D13">
      <w:pPr>
        <w:rPr>
          <w:rFonts w:ascii="Montserrat Light" w:hAnsi="Montserrat Light"/>
          <w:color w:val="000000"/>
          <w:sz w:val="22"/>
          <w:szCs w:val="22"/>
          <w:lang w:val="et-EE" w:eastAsia="et-EE"/>
          <w14:textOutline w14:w="0" w14:cap="flat" w14:cmpd="sng" w14:algn="ctr">
            <w14:noFill/>
            <w14:prstDash w14:val="solid"/>
            <w14:bevel/>
          </w14:textOutline>
        </w:rPr>
      </w:pPr>
      <w:r w:rsidRPr="00AE2D13">
        <w:rPr>
          <w:rFonts w:ascii="Montserrat Light" w:hAnsi="Montserrat Light"/>
          <w:sz w:val="22"/>
          <w:szCs w:val="22"/>
          <w:lang w:val="et-EE"/>
        </w:rPr>
        <w:br w:type="page"/>
      </w:r>
    </w:p>
    <w:p w14:paraId="60BDE4B4" w14:textId="2C25B866" w:rsidR="007C6E18" w:rsidRPr="00E23E20" w:rsidRDefault="000E481C" w:rsidP="00AE2D13">
      <w:pPr>
        <w:pStyle w:val="a3"/>
        <w:spacing w:before="0" w:line="276" w:lineRule="auto"/>
        <w:ind w:left="360"/>
        <w:jc w:val="both"/>
        <w:rPr>
          <w:rFonts w:ascii="Montserrat Light" w:hAnsi="Montserrat Light"/>
          <w:sz w:val="22"/>
          <w:szCs w:val="22"/>
        </w:rPr>
      </w:pPr>
      <w:r w:rsidRPr="00265C86">
        <w:rPr>
          <w:rFonts w:ascii="Montserrat Light" w:hAnsi="Montserrat Light" w:cs="Times New Roman"/>
          <w:sz w:val="22"/>
          <w:szCs w:val="22"/>
        </w:rPr>
        <w:lastRenderedPageBreak/>
        <w:t>toitlustus-, büroo- või majutushoone ja äri eesmärgil kasutatava meelelahutus- , haridus-, sotsiaalhoolekande-, teadus- , tervishoiu-, puhke- või spordihoone ning neid teenindavate rajatiste maa-ala</w:t>
      </w:r>
      <w:r w:rsidR="007C6E18" w:rsidRPr="00265C86">
        <w:rPr>
          <w:rFonts w:ascii="Montserrat Light" w:hAnsi="Montserrat Light" w:cs="Times New Roman"/>
          <w:sz w:val="22"/>
          <w:szCs w:val="22"/>
        </w:rPr>
        <w:t>d</w:t>
      </w:r>
      <w:r w:rsidRPr="00265C86">
        <w:rPr>
          <w:rFonts w:ascii="Montserrat Light" w:hAnsi="Montserrat Light" w:cs="Times New Roman"/>
          <w:sz w:val="22"/>
          <w:szCs w:val="22"/>
        </w:rPr>
        <w:t xml:space="preserve"> ning muu toetava maakasutuse juhtotstarbega maa-ala</w:t>
      </w:r>
      <w:r w:rsidR="007C6E18" w:rsidRPr="00265C86">
        <w:rPr>
          <w:rFonts w:ascii="Montserrat Light" w:hAnsi="Montserrat Light" w:cs="Times New Roman"/>
          <w:sz w:val="22"/>
          <w:szCs w:val="22"/>
        </w:rPr>
        <w:t>d</w:t>
      </w:r>
      <w:r w:rsidR="00AE2D13">
        <w:rPr>
          <w:rFonts w:ascii="Montserrat Light" w:hAnsi="Montserrat Light" w:cs="Times New Roman"/>
          <w:sz w:val="22"/>
          <w:szCs w:val="22"/>
        </w:rPr>
        <w:t xml:space="preserve">) oleme tootmisaladel suurema paindlikkuse huvides tänapäeva ettevõtluses  ette näinud ühendatud </w:t>
      </w:r>
      <w:r w:rsidR="00AE2D13">
        <w:rPr>
          <w:rFonts w:ascii="Montserrat Light" w:hAnsi="Montserrat Light"/>
          <w:sz w:val="22"/>
          <w:szCs w:val="22"/>
        </w:rPr>
        <w:t>ä</w:t>
      </w:r>
      <w:r w:rsidRPr="007C6E18">
        <w:rPr>
          <w:rFonts w:ascii="Montserrat Light" w:hAnsi="Montserrat Light"/>
          <w:sz w:val="22"/>
          <w:szCs w:val="22"/>
        </w:rPr>
        <w:t>ri ja tootmise maa-ala</w:t>
      </w:r>
      <w:r w:rsidR="007C6E18" w:rsidRPr="007C6E18">
        <w:rPr>
          <w:rFonts w:ascii="Montserrat Light" w:hAnsi="Montserrat Light"/>
          <w:sz w:val="22"/>
          <w:szCs w:val="22"/>
        </w:rPr>
        <w:t>d</w:t>
      </w:r>
      <w:r w:rsidRPr="007C6E18">
        <w:rPr>
          <w:rFonts w:ascii="Montserrat Light" w:hAnsi="Montserrat Light"/>
          <w:sz w:val="22"/>
          <w:szCs w:val="22"/>
        </w:rPr>
        <w:t xml:space="preserve"> (B/T</w:t>
      </w:r>
      <w:r w:rsidR="00AE2D13">
        <w:rPr>
          <w:rFonts w:ascii="Montserrat Light" w:hAnsi="Montserrat Light"/>
          <w:sz w:val="22"/>
          <w:szCs w:val="22"/>
        </w:rPr>
        <w:t xml:space="preserve"> – </w:t>
      </w:r>
      <w:r w:rsidR="007C6E18">
        <w:rPr>
          <w:rFonts w:ascii="Montserrat Light" w:hAnsi="Montserrat Light"/>
          <w:sz w:val="22"/>
          <w:szCs w:val="22"/>
        </w:rPr>
        <w:t>k</w:t>
      </w:r>
      <w:r w:rsidR="007C6E18" w:rsidRPr="007C6E18">
        <w:rPr>
          <w:rFonts w:ascii="Montserrat Light" w:hAnsi="Montserrat Light"/>
          <w:sz w:val="22"/>
          <w:szCs w:val="22"/>
        </w:rPr>
        <w:t>aubandus-, teenindus-, toitlustus-, büroo-, tootmis- ja tööstushoone ning laohoone, sh hulgikaubandushoone ja neid teenindavate rajatiste maa-ala</w:t>
      </w:r>
      <w:r w:rsidR="007C6E18">
        <w:rPr>
          <w:rFonts w:ascii="Montserrat Light" w:hAnsi="Montserrat Light"/>
          <w:sz w:val="22"/>
          <w:szCs w:val="22"/>
        </w:rPr>
        <w:t>d</w:t>
      </w:r>
      <w:r w:rsidR="00AE2D13">
        <w:rPr>
          <w:rFonts w:ascii="Montserrat Light" w:hAnsi="Montserrat Light"/>
          <w:sz w:val="22"/>
          <w:szCs w:val="22"/>
        </w:rPr>
        <w:t>)</w:t>
      </w:r>
      <w:r w:rsidR="007C6E18">
        <w:rPr>
          <w:rFonts w:ascii="Montserrat Light" w:hAnsi="Montserrat Light"/>
          <w:sz w:val="22"/>
          <w:szCs w:val="22"/>
        </w:rPr>
        <w:t xml:space="preserve"> </w:t>
      </w:r>
      <w:r w:rsidR="007C6E18" w:rsidRPr="007C6E18">
        <w:rPr>
          <w:rFonts w:ascii="Montserrat Light" w:hAnsi="Montserrat Light"/>
          <w:sz w:val="22"/>
          <w:szCs w:val="22"/>
        </w:rPr>
        <w:t xml:space="preserve">ning </w:t>
      </w:r>
      <w:r w:rsidR="00AE2D13">
        <w:rPr>
          <w:rFonts w:ascii="Montserrat Light" w:hAnsi="Montserrat Light"/>
          <w:sz w:val="22"/>
          <w:szCs w:val="22"/>
        </w:rPr>
        <w:t xml:space="preserve">samuti eraldi täiesti uue juhtotstarbena </w:t>
      </w:r>
      <w:r w:rsidR="007C6E18" w:rsidRPr="007C6E18">
        <w:rPr>
          <w:rFonts w:ascii="Montserrat Light" w:hAnsi="Montserrat Light"/>
          <w:sz w:val="22"/>
          <w:szCs w:val="22"/>
        </w:rPr>
        <w:t>taastuvenergeetika tootmise maa</w:t>
      </w:r>
      <w:r w:rsidR="007C6E18">
        <w:rPr>
          <w:rFonts w:ascii="Montserrat Light" w:hAnsi="Montserrat Light"/>
          <w:sz w:val="22"/>
          <w:szCs w:val="22"/>
        </w:rPr>
        <w:t>-</w:t>
      </w:r>
      <w:r w:rsidR="007C6E18" w:rsidRPr="007C6E18">
        <w:rPr>
          <w:rFonts w:ascii="Montserrat Light" w:hAnsi="Montserrat Light"/>
          <w:sz w:val="22"/>
          <w:szCs w:val="22"/>
        </w:rPr>
        <w:t>alad</w:t>
      </w:r>
      <w:r w:rsidR="00AE2D13">
        <w:rPr>
          <w:rFonts w:ascii="Montserrat Light" w:hAnsi="Montserrat Light"/>
          <w:sz w:val="22"/>
          <w:szCs w:val="22"/>
        </w:rPr>
        <w:t xml:space="preserve"> (TE). Samuti sisaldab ettevõtlusega tegelemise võimalust keskusaladel uued s</w:t>
      </w:r>
      <w:r w:rsidR="007C6E18" w:rsidRPr="007C6E18">
        <w:rPr>
          <w:rFonts w:ascii="Montserrat Light" w:hAnsi="Montserrat Light"/>
          <w:sz w:val="22"/>
          <w:szCs w:val="22"/>
        </w:rPr>
        <w:t>egahoonestusega maa-alad (S –</w:t>
      </w:r>
      <w:r w:rsidR="007C6E18" w:rsidRPr="007C6E18">
        <w:rPr>
          <w:rFonts w:ascii="Times New Roman" w:hAnsi="Times New Roman" w:cs="Times New Roman"/>
          <w:color w:val="auto"/>
          <w:lang w:eastAsia="en-US"/>
          <w14:textOutline w14:w="0" w14:cap="rnd" w14:cmpd="sng" w14:algn="ctr">
            <w14:noFill/>
            <w14:prstDash w14:val="solid"/>
            <w14:bevel/>
          </w14:textOutline>
        </w:rPr>
        <w:t xml:space="preserve"> </w:t>
      </w:r>
      <w:r w:rsidR="007C6E18">
        <w:rPr>
          <w:rFonts w:ascii="Montserrat Light" w:hAnsi="Montserrat Light"/>
          <w:sz w:val="22"/>
          <w:szCs w:val="22"/>
        </w:rPr>
        <w:t>k</w:t>
      </w:r>
      <w:r w:rsidR="007C6E18" w:rsidRPr="007C6E18">
        <w:rPr>
          <w:rFonts w:ascii="Montserrat Light" w:hAnsi="Montserrat Light"/>
          <w:sz w:val="22"/>
          <w:szCs w:val="22"/>
        </w:rPr>
        <w:t>orterelamu-, äri-, ühiskondlike hoonete ning neid teenindavate rajatiste maa-ala</w:t>
      </w:r>
      <w:r w:rsidR="00AE2D13">
        <w:rPr>
          <w:rFonts w:ascii="Montserrat Light" w:hAnsi="Montserrat Light"/>
          <w:sz w:val="22"/>
          <w:szCs w:val="22"/>
        </w:rPr>
        <w:t>d) kus e</w:t>
      </w:r>
      <w:r w:rsidR="007C6E18" w:rsidRPr="007C6E18">
        <w:rPr>
          <w:rFonts w:ascii="Montserrat Light" w:hAnsi="Montserrat Light"/>
          <w:sz w:val="22"/>
          <w:szCs w:val="22"/>
        </w:rPr>
        <w:t>rinevad funktsioonid võivad olla ühes või erinevates hoonetes</w:t>
      </w:r>
      <w:r w:rsidR="00AE2D13">
        <w:rPr>
          <w:rFonts w:ascii="Montserrat Light" w:hAnsi="Montserrat Light"/>
          <w:sz w:val="22"/>
          <w:szCs w:val="22"/>
        </w:rPr>
        <w:t xml:space="preserve"> ning</w:t>
      </w:r>
      <w:r w:rsidR="007C6E18" w:rsidRPr="007C6E18">
        <w:rPr>
          <w:rFonts w:ascii="Montserrat Light" w:hAnsi="Montserrat Light"/>
          <w:sz w:val="22"/>
          <w:szCs w:val="22"/>
        </w:rPr>
        <w:t xml:space="preserve"> oluline on funktsioonide omavaheline sünergia</w:t>
      </w:r>
      <w:r w:rsidR="00E23E20">
        <w:rPr>
          <w:rFonts w:ascii="Montserrat Light" w:hAnsi="Montserrat Light"/>
          <w:sz w:val="22"/>
          <w:szCs w:val="22"/>
        </w:rPr>
        <w:t>.</w:t>
      </w:r>
    </w:p>
    <w:p w14:paraId="0E332686" w14:textId="0698C70B" w:rsidR="00291E4B" w:rsidRDefault="00AE2D13">
      <w:pPr>
        <w:pStyle w:val="a3"/>
        <w:numPr>
          <w:ilvl w:val="0"/>
          <w:numId w:val="2"/>
        </w:numPr>
        <w:spacing w:before="0" w:line="240" w:lineRule="auto"/>
        <w:jc w:val="both"/>
        <w:rPr>
          <w:rFonts w:ascii="Montserrat Light" w:hAnsi="Montserrat Light"/>
          <w:sz w:val="22"/>
          <w:szCs w:val="22"/>
        </w:rPr>
      </w:pPr>
      <w:r>
        <w:rPr>
          <w:rFonts w:ascii="Montserrat Light" w:hAnsi="Montserrat Light"/>
          <w:sz w:val="22"/>
          <w:szCs w:val="22"/>
        </w:rPr>
        <w:t>Hetkel on käsil uue üldplaneeringu heakskiitmismenetlus ning sellega seoses on võimalikud veel mõningased muudatused planeeringu materjalides. P</w:t>
      </w:r>
      <w:r w:rsidR="00E23E20">
        <w:rPr>
          <w:rFonts w:ascii="Montserrat Light" w:hAnsi="Montserrat Light"/>
          <w:sz w:val="22"/>
          <w:szCs w:val="22"/>
        </w:rPr>
        <w:t xml:space="preserve">alutud </w:t>
      </w:r>
      <w:r>
        <w:rPr>
          <w:rFonts w:ascii="Montserrat Light" w:hAnsi="Montserrat Light"/>
          <w:sz w:val="22"/>
          <w:szCs w:val="22"/>
        </w:rPr>
        <w:t>digitaalsed joonise</w:t>
      </w:r>
      <w:r w:rsidR="00E23E20">
        <w:rPr>
          <w:rFonts w:ascii="Montserrat Light" w:hAnsi="Montserrat Light"/>
          <w:sz w:val="22"/>
          <w:szCs w:val="22"/>
        </w:rPr>
        <w:t xml:space="preserve">kihid </w:t>
      </w:r>
      <w:r>
        <w:rPr>
          <w:rFonts w:ascii="Montserrat Light" w:hAnsi="Montserrat Light"/>
          <w:sz w:val="22"/>
          <w:szCs w:val="22"/>
        </w:rPr>
        <w:t xml:space="preserve">esitame Teile </w:t>
      </w:r>
      <w:r w:rsidR="00E23E20">
        <w:rPr>
          <w:rFonts w:ascii="Montserrat Light" w:hAnsi="Montserrat Light"/>
          <w:sz w:val="22"/>
          <w:szCs w:val="22"/>
        </w:rPr>
        <w:t>esimesel võimalusel.</w:t>
      </w:r>
    </w:p>
    <w:p w14:paraId="7F60EA65" w14:textId="77777777" w:rsidR="00CE43E2" w:rsidRPr="001D2755" w:rsidRDefault="00CE43E2">
      <w:pPr>
        <w:pStyle w:val="A1"/>
        <w:jc w:val="both"/>
        <w:rPr>
          <w:rFonts w:ascii="Montserrat Light" w:eastAsia="Montserrat Light" w:hAnsi="Montserrat Light" w:cs="Montserrat Light"/>
          <w:b/>
          <w:bCs/>
        </w:rPr>
      </w:pPr>
    </w:p>
    <w:p w14:paraId="440D23D8" w14:textId="77777777" w:rsidR="00CE43E2" w:rsidRDefault="00CE43E2">
      <w:pPr>
        <w:pStyle w:val="Loendilik"/>
        <w:ind w:left="0"/>
        <w:jc w:val="both"/>
        <w:rPr>
          <w:rFonts w:ascii="Montserrat Light" w:eastAsia="Montserrat Light" w:hAnsi="Montserrat Light" w:cs="Montserrat Light"/>
          <w:b/>
          <w:bCs/>
        </w:rPr>
      </w:pPr>
    </w:p>
    <w:p w14:paraId="5BB91107" w14:textId="77777777" w:rsidR="00AE2D13" w:rsidRPr="001D2755" w:rsidRDefault="00AE2D13">
      <w:pPr>
        <w:pStyle w:val="Loendilik"/>
        <w:ind w:left="0"/>
        <w:jc w:val="both"/>
        <w:rPr>
          <w:rFonts w:ascii="Montserrat Light" w:eastAsia="Montserrat Light" w:hAnsi="Montserrat Light" w:cs="Montserrat Light"/>
          <w:b/>
          <w:bCs/>
        </w:rPr>
      </w:pPr>
    </w:p>
    <w:p w14:paraId="4724F8C0" w14:textId="77777777" w:rsidR="00CE43E2" w:rsidRPr="001D2755" w:rsidRDefault="00182389">
      <w:pPr>
        <w:pStyle w:val="A1"/>
        <w:jc w:val="both"/>
        <w:rPr>
          <w:rFonts w:ascii="Montserrat Light" w:eastAsia="Montserrat Light" w:hAnsi="Montserrat Light" w:cs="Montserrat Light"/>
          <w:sz w:val="22"/>
          <w:szCs w:val="22"/>
        </w:rPr>
      </w:pPr>
      <w:r w:rsidRPr="001D2755">
        <w:rPr>
          <w:rFonts w:ascii="Montserrat Light" w:hAnsi="Montserrat Light"/>
          <w:sz w:val="22"/>
          <w:szCs w:val="22"/>
        </w:rPr>
        <w:t>Lugupidamisega</w:t>
      </w:r>
    </w:p>
    <w:p w14:paraId="7067AB13" w14:textId="77777777" w:rsidR="00CE43E2" w:rsidRDefault="00CE43E2">
      <w:pPr>
        <w:pStyle w:val="A1"/>
        <w:jc w:val="both"/>
        <w:rPr>
          <w:rFonts w:ascii="Montserrat Light" w:eastAsia="Montserrat Light" w:hAnsi="Montserrat Light" w:cs="Montserrat Light"/>
          <w:sz w:val="22"/>
          <w:szCs w:val="22"/>
        </w:rPr>
      </w:pPr>
    </w:p>
    <w:p w14:paraId="6559E028" w14:textId="77777777" w:rsidR="001D2755" w:rsidRPr="001D2755" w:rsidRDefault="001D2755">
      <w:pPr>
        <w:pStyle w:val="A1"/>
        <w:jc w:val="both"/>
        <w:rPr>
          <w:rFonts w:ascii="Montserrat Light" w:eastAsia="Montserrat Light" w:hAnsi="Montserrat Light" w:cs="Montserrat Light"/>
          <w:sz w:val="22"/>
          <w:szCs w:val="22"/>
        </w:rPr>
      </w:pPr>
    </w:p>
    <w:p w14:paraId="541AE320" w14:textId="77777777" w:rsidR="00CE43E2" w:rsidRPr="001D2755" w:rsidRDefault="00182389">
      <w:pPr>
        <w:pStyle w:val="A1"/>
        <w:jc w:val="both"/>
        <w:rPr>
          <w:rFonts w:ascii="Montserrat Light" w:eastAsia="Montserrat Light" w:hAnsi="Montserrat Light" w:cs="Montserrat Light"/>
          <w:sz w:val="18"/>
          <w:szCs w:val="18"/>
        </w:rPr>
      </w:pPr>
      <w:r w:rsidRPr="001D2755">
        <w:rPr>
          <w:rFonts w:ascii="Montserrat Light" w:eastAsia="Montserrat Light" w:hAnsi="Montserrat Light" w:cs="Montserrat Light"/>
          <w:sz w:val="22"/>
          <w:szCs w:val="22"/>
        </w:rPr>
        <w:br/>
      </w:r>
      <w:r w:rsidRPr="001D2755">
        <w:rPr>
          <w:rFonts w:ascii="Montserrat Light" w:hAnsi="Montserrat Light"/>
          <w:sz w:val="18"/>
          <w:szCs w:val="18"/>
        </w:rPr>
        <w:t>/allkirjastatud digitaalselt/</w:t>
      </w:r>
    </w:p>
    <w:p w14:paraId="4E51578F" w14:textId="77777777" w:rsidR="00CE43E2" w:rsidRPr="001D2755" w:rsidRDefault="00182389">
      <w:pPr>
        <w:pStyle w:val="A1"/>
        <w:jc w:val="both"/>
        <w:rPr>
          <w:rFonts w:ascii="Montserrat Light" w:eastAsia="Montserrat Light" w:hAnsi="Montserrat Light" w:cs="Montserrat Light"/>
          <w:sz w:val="22"/>
          <w:szCs w:val="22"/>
        </w:rPr>
      </w:pPr>
      <w:r w:rsidRPr="001D2755">
        <w:rPr>
          <w:rFonts w:ascii="Montserrat Light" w:eastAsia="Montserrat Light" w:hAnsi="Montserrat Light" w:cs="Montserrat Light"/>
          <w:sz w:val="22"/>
          <w:szCs w:val="22"/>
        </w:rPr>
        <w:br/>
      </w:r>
      <w:r w:rsidRPr="001D2755">
        <w:rPr>
          <w:rFonts w:ascii="Montserrat Light" w:hAnsi="Montserrat Light"/>
          <w:sz w:val="22"/>
          <w:szCs w:val="22"/>
        </w:rPr>
        <w:t>Peeter Tambu</w:t>
      </w:r>
    </w:p>
    <w:p w14:paraId="2198DD3F" w14:textId="337A0F7F" w:rsidR="00CE43E2" w:rsidRPr="001D2755" w:rsidRDefault="00182389">
      <w:pPr>
        <w:pStyle w:val="A1"/>
        <w:jc w:val="both"/>
      </w:pPr>
      <w:r w:rsidRPr="001D2755">
        <w:rPr>
          <w:rFonts w:ascii="Montserrat Light" w:hAnsi="Montserrat Light"/>
          <w:sz w:val="18"/>
          <w:szCs w:val="18"/>
        </w:rPr>
        <w:t>peaarhitekt (direktori asetäitja)</w:t>
      </w:r>
      <w:r w:rsidR="001626A8">
        <w:rPr>
          <w:rFonts w:ascii="Montserrat Light" w:hAnsi="Montserrat Light"/>
          <w:sz w:val="18"/>
          <w:szCs w:val="18"/>
        </w:rPr>
        <w:t xml:space="preserve"> direktori ülesannetes</w:t>
      </w:r>
    </w:p>
    <w:sectPr w:rsidR="00CE43E2" w:rsidRPr="001D2755">
      <w:headerReference w:type="first" r:id="rId8"/>
      <w:footerReference w:type="first" r:id="rId9"/>
      <w:pgSz w:w="11900" w:h="16840"/>
      <w:pgMar w:top="680" w:right="1418" w:bottom="1418" w:left="1985" w:header="624"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067D" w14:textId="77777777" w:rsidR="00BA5412" w:rsidRDefault="00BA5412">
      <w:r>
        <w:separator/>
      </w:r>
    </w:p>
  </w:endnote>
  <w:endnote w:type="continuationSeparator" w:id="0">
    <w:p w14:paraId="02D0C7A1" w14:textId="77777777" w:rsidR="00BA5412" w:rsidRDefault="00BA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panose1 w:val="00000000000000000000"/>
    <w:charset w:val="00"/>
    <w:family w:val="modern"/>
    <w:notTrueType/>
    <w:pitch w:val="variable"/>
    <w:sig w:usb0="A000002F" w:usb1="40000048" w:usb2="00000000" w:usb3="00000000" w:csb0="0000011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Montserrat Bold">
    <w:panose1 w:val="000000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BFB4" w14:textId="77777777" w:rsidR="00CE43E2" w:rsidRDefault="00182389" w:rsidP="00210023">
    <w:pPr>
      <w:pStyle w:val="A1"/>
      <w:ind w:right="-717"/>
      <w:jc w:val="right"/>
    </w:pPr>
    <w:r>
      <w:rPr>
        <w:noProof/>
      </w:rPr>
      <w:drawing>
        <wp:inline distT="0" distB="0" distL="0" distR="0" wp14:anchorId="342E0498" wp14:editId="64730C37">
          <wp:extent cx="3492001" cy="984090"/>
          <wp:effectExtent l="0" t="0" r="0" b="0"/>
          <wp:docPr id="1073741826" name="officeArt object" descr="Pilt 24"/>
          <wp:cNvGraphicFramePr/>
          <a:graphic xmlns:a="http://schemas.openxmlformats.org/drawingml/2006/main">
            <a:graphicData uri="http://schemas.openxmlformats.org/drawingml/2006/picture">
              <pic:pic xmlns:pic="http://schemas.openxmlformats.org/drawingml/2006/picture">
                <pic:nvPicPr>
                  <pic:cNvPr id="1073741826" name="Pilt 24" descr="Pilt 24"/>
                  <pic:cNvPicPr>
                    <a:picLocks noChangeAspect="1"/>
                  </pic:cNvPicPr>
                </pic:nvPicPr>
                <pic:blipFill>
                  <a:blip r:embed="rId1"/>
                  <a:srcRect l="6" r="35624"/>
                  <a:stretch>
                    <a:fillRect/>
                  </a:stretch>
                </pic:blipFill>
                <pic:spPr>
                  <a:xfrm>
                    <a:off x="0" y="0"/>
                    <a:ext cx="3492001" cy="9840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6B72" w14:textId="77777777" w:rsidR="00BA5412" w:rsidRDefault="00BA5412">
      <w:r>
        <w:separator/>
      </w:r>
    </w:p>
  </w:footnote>
  <w:footnote w:type="continuationSeparator" w:id="0">
    <w:p w14:paraId="48323901" w14:textId="77777777" w:rsidR="00BA5412" w:rsidRDefault="00BA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3FA4" w14:textId="77777777" w:rsidR="00CE43E2" w:rsidRDefault="00182389" w:rsidP="00210023">
    <w:pPr>
      <w:pStyle w:val="Pis"/>
      <w:tabs>
        <w:tab w:val="clear" w:pos="8306"/>
        <w:tab w:val="right" w:pos="8221"/>
      </w:tabs>
      <w:ind w:right="-717"/>
      <w:jc w:val="right"/>
    </w:pPr>
    <w:r>
      <w:rPr>
        <w:noProof/>
        <w:lang w:val="et-EE"/>
      </w:rPr>
      <w:drawing>
        <wp:inline distT="0" distB="0" distL="0" distR="0" wp14:anchorId="49BAA80E" wp14:editId="18CE0F4F">
          <wp:extent cx="1694635" cy="486231"/>
          <wp:effectExtent l="0" t="0" r="0" b="0"/>
          <wp:docPr id="1073741825" name="officeArt object" descr="Pilt 1"/>
          <wp:cNvGraphicFramePr/>
          <a:graphic xmlns:a="http://schemas.openxmlformats.org/drawingml/2006/main">
            <a:graphicData uri="http://schemas.openxmlformats.org/drawingml/2006/picture">
              <pic:pic xmlns:pic="http://schemas.openxmlformats.org/drawingml/2006/picture">
                <pic:nvPicPr>
                  <pic:cNvPr id="1073741825" name="Pilt 1" descr="Pilt 1"/>
                  <pic:cNvPicPr>
                    <a:picLocks noChangeAspect="1"/>
                  </pic:cNvPicPr>
                </pic:nvPicPr>
                <pic:blipFill>
                  <a:blip r:embed="rId1"/>
                  <a:stretch>
                    <a:fillRect/>
                  </a:stretch>
                </pic:blipFill>
                <pic:spPr>
                  <a:xfrm>
                    <a:off x="0" y="0"/>
                    <a:ext cx="1694635" cy="486231"/>
                  </a:xfrm>
                  <a:prstGeom prst="rect">
                    <a:avLst/>
                  </a:prstGeom>
                  <a:ln w="12700" cap="flat">
                    <a:noFill/>
                    <a:miter lim="400000"/>
                  </a:ln>
                  <a:effectLst/>
                </pic:spPr>
              </pic:pic>
            </a:graphicData>
          </a:graphic>
        </wp:inline>
      </w:drawing>
    </w:r>
  </w:p>
  <w:p w14:paraId="7A3E1A3E" w14:textId="77777777" w:rsidR="00CE43E2" w:rsidRDefault="00CE43E2">
    <w:pPr>
      <w:pStyle w:val="Pis"/>
      <w:tabs>
        <w:tab w:val="clear" w:pos="8306"/>
        <w:tab w:val="right" w:pos="8221"/>
      </w:tabs>
      <w:jc w:val="right"/>
    </w:pPr>
  </w:p>
  <w:p w14:paraId="3B81A80C" w14:textId="77777777" w:rsidR="00CE43E2" w:rsidRDefault="00CE43E2">
    <w:pPr>
      <w:pStyle w:val="Pis"/>
      <w:jc w:val="right"/>
    </w:pPr>
  </w:p>
  <w:p w14:paraId="7818B7F0" w14:textId="77777777" w:rsidR="00CE43E2" w:rsidRDefault="00CE43E2">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17EDC"/>
    <w:multiLevelType w:val="hybridMultilevel"/>
    <w:tmpl w:val="23AE3D9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42A272B7"/>
    <w:multiLevelType w:val="hybridMultilevel"/>
    <w:tmpl w:val="2F508228"/>
    <w:numStyleLink w:val="a"/>
  </w:abstractNum>
  <w:abstractNum w:abstractNumId="2" w15:restartNumberingAfterBreak="0">
    <w:nsid w:val="635C1263"/>
    <w:multiLevelType w:val="hybridMultilevel"/>
    <w:tmpl w:val="2F508228"/>
    <w:styleLink w:val="a"/>
    <w:lvl w:ilvl="0" w:tplc="D94E31F8">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026B07C">
      <w:start w:val="1"/>
      <w:numFmt w:val="decimal"/>
      <w:lvlText w:val="%2."/>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D4289A4">
      <w:start w:val="1"/>
      <w:numFmt w:val="decimal"/>
      <w:lvlText w:val="%3."/>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EF0E028">
      <w:start w:val="1"/>
      <w:numFmt w:val="decimal"/>
      <w:lvlText w:val="%4."/>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B348AFE">
      <w:start w:val="1"/>
      <w:numFmt w:val="decimal"/>
      <w:lvlText w:val="%5."/>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682188">
      <w:start w:val="1"/>
      <w:numFmt w:val="decimal"/>
      <w:lvlText w:val="%6."/>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C4ADC62">
      <w:start w:val="1"/>
      <w:numFmt w:val="decimal"/>
      <w:lvlText w:val="%7."/>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9E1A9E">
      <w:start w:val="1"/>
      <w:numFmt w:val="decimal"/>
      <w:lvlText w:val="%8."/>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54215C">
      <w:start w:val="1"/>
      <w:numFmt w:val="decimal"/>
      <w:lvlText w:val="%9."/>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22680236">
    <w:abstractNumId w:val="2"/>
  </w:num>
  <w:num w:numId="2" w16cid:durableId="331875520">
    <w:abstractNumId w:val="1"/>
    <w:lvlOverride w:ilvl="0">
      <w:lvl w:ilvl="0" w:tplc="7C82F4EE">
        <w:start w:val="1"/>
        <w:numFmt w:val="decimal"/>
        <w:lvlText w:val="%1."/>
        <w:lvlJc w:val="left"/>
        <w:pPr>
          <w:ind w:left="360" w:hanging="360"/>
        </w:pPr>
      </w:lvl>
    </w:lvlOverride>
    <w:lvlOverride w:ilvl="1">
      <w:lvl w:ilvl="1" w:tplc="0B0888EE">
        <w:start w:val="1"/>
        <w:numFmt w:val="decimal"/>
        <w:lvlText w:val="%1.%2."/>
        <w:lvlJc w:val="left"/>
        <w:pPr>
          <w:ind w:left="792" w:hanging="432"/>
        </w:pPr>
      </w:lvl>
    </w:lvlOverride>
    <w:lvlOverride w:ilvl="2">
      <w:lvl w:ilvl="2" w:tplc="B52CF4C0">
        <w:start w:val="1"/>
        <w:numFmt w:val="decimal"/>
        <w:lvlText w:val="%1.%2.%3."/>
        <w:lvlJc w:val="left"/>
        <w:pPr>
          <w:ind w:left="1224" w:hanging="504"/>
        </w:pPr>
      </w:lvl>
    </w:lvlOverride>
    <w:lvlOverride w:ilvl="3">
      <w:lvl w:ilvl="3" w:tplc="1F80D6B8">
        <w:start w:val="1"/>
        <w:numFmt w:val="decimal"/>
        <w:lvlText w:val="%1.%2.%3.%4."/>
        <w:lvlJc w:val="left"/>
        <w:pPr>
          <w:ind w:left="1728" w:hanging="648"/>
        </w:pPr>
      </w:lvl>
    </w:lvlOverride>
    <w:lvlOverride w:ilvl="4">
      <w:lvl w:ilvl="4" w:tplc="F19A5C34">
        <w:start w:val="1"/>
        <w:numFmt w:val="decimal"/>
        <w:lvlText w:val="%1.%2.%3.%4.%5."/>
        <w:lvlJc w:val="left"/>
        <w:pPr>
          <w:ind w:left="2232" w:hanging="792"/>
        </w:pPr>
      </w:lvl>
    </w:lvlOverride>
    <w:lvlOverride w:ilvl="5">
      <w:lvl w:ilvl="5" w:tplc="B63E1974">
        <w:start w:val="1"/>
        <w:numFmt w:val="decimal"/>
        <w:lvlText w:val="%1.%2.%3.%4.%5.%6."/>
        <w:lvlJc w:val="left"/>
        <w:pPr>
          <w:ind w:left="2736" w:hanging="936"/>
        </w:pPr>
      </w:lvl>
    </w:lvlOverride>
    <w:lvlOverride w:ilvl="6">
      <w:lvl w:ilvl="6" w:tplc="F3A23B52">
        <w:start w:val="1"/>
        <w:numFmt w:val="decimal"/>
        <w:lvlText w:val="%1.%2.%3.%4.%5.%6.%7."/>
        <w:lvlJc w:val="left"/>
        <w:pPr>
          <w:ind w:left="3240" w:hanging="1080"/>
        </w:pPr>
      </w:lvl>
    </w:lvlOverride>
    <w:lvlOverride w:ilvl="7">
      <w:lvl w:ilvl="7" w:tplc="122A41F8">
        <w:start w:val="1"/>
        <w:numFmt w:val="decimal"/>
        <w:lvlText w:val="%1.%2.%3.%4.%5.%6.%7.%8."/>
        <w:lvlJc w:val="left"/>
        <w:pPr>
          <w:ind w:left="3744" w:hanging="1224"/>
        </w:pPr>
      </w:lvl>
    </w:lvlOverride>
    <w:lvlOverride w:ilvl="8">
      <w:lvl w:ilvl="8" w:tplc="4B186FE0">
        <w:start w:val="1"/>
        <w:numFmt w:val="decimal"/>
        <w:lvlText w:val="%1.%2.%3.%4.%5.%6.%7.%8.%9."/>
        <w:lvlJc w:val="left"/>
        <w:pPr>
          <w:ind w:left="4320" w:hanging="1440"/>
        </w:pPr>
      </w:lvl>
    </w:lvlOverride>
  </w:num>
  <w:num w:numId="3" w16cid:durableId="402794391">
    <w:abstractNumId w:val="1"/>
  </w:num>
  <w:num w:numId="4" w16cid:durableId="186806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E2"/>
    <w:rsid w:val="0002315D"/>
    <w:rsid w:val="000E481C"/>
    <w:rsid w:val="001626A8"/>
    <w:rsid w:val="00182389"/>
    <w:rsid w:val="001C1DEA"/>
    <w:rsid w:val="001D2755"/>
    <w:rsid w:val="00210023"/>
    <w:rsid w:val="00265C86"/>
    <w:rsid w:val="00291E4B"/>
    <w:rsid w:val="002C2DBA"/>
    <w:rsid w:val="004F0609"/>
    <w:rsid w:val="00600C20"/>
    <w:rsid w:val="00733D75"/>
    <w:rsid w:val="00795893"/>
    <w:rsid w:val="007B437B"/>
    <w:rsid w:val="007C6E18"/>
    <w:rsid w:val="007E5963"/>
    <w:rsid w:val="00973D39"/>
    <w:rsid w:val="00A71F4C"/>
    <w:rsid w:val="00AE2D13"/>
    <w:rsid w:val="00BA5412"/>
    <w:rsid w:val="00BB6AFA"/>
    <w:rsid w:val="00CE43E2"/>
    <w:rsid w:val="00E23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598D"/>
  <w15:docId w15:val="{443E53E9-C5E4-4368-932E-7380C1A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0">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s">
    <w:name w:val="header"/>
    <w:pPr>
      <w:tabs>
        <w:tab w:val="center" w:pos="4153"/>
        <w:tab w:val="right" w:pos="8306"/>
      </w:tabs>
    </w:pPr>
    <w:rPr>
      <w:rFonts w:ascii="Arial" w:hAnsi="Arial" w:cs="Arial Unicode MS"/>
      <w:color w:val="000000"/>
      <w:sz w:val="22"/>
      <w:szCs w:val="22"/>
      <w:u w:color="000000"/>
      <w:lang w:val="en-US"/>
    </w:rPr>
  </w:style>
  <w:style w:type="paragraph" w:customStyle="1" w:styleId="A1">
    <w:name w:val="Основной текст A"/>
    <w:rPr>
      <w:rFonts w:cs="Arial Unicode MS"/>
      <w:color w:val="000000"/>
      <w:sz w:val="24"/>
      <w:szCs w:val="24"/>
      <w:u w:color="000000"/>
      <w14:textOutline w14:w="12700" w14:cap="flat" w14:cmpd="sng" w14:algn="ctr">
        <w14:noFill/>
        <w14:prstDash w14:val="solid"/>
        <w14:miter w14:lim="400000"/>
      </w14:textOutline>
    </w:rPr>
  </w:style>
  <w:style w:type="paragraph" w:styleId="Lihttekst">
    <w:name w:val="Plain Text"/>
    <w:rPr>
      <w:rFonts w:ascii="Calibri" w:eastAsia="Calibri" w:hAnsi="Calibri" w:cs="Calibri"/>
      <w:color w:val="000000"/>
      <w:sz w:val="22"/>
      <w:szCs w:val="22"/>
      <w:u w:color="000000"/>
      <w:lang w:val="en-US"/>
    </w:rPr>
  </w:style>
  <w:style w:type="paragraph" w:customStyle="1" w:styleId="A2">
    <w:name w:val="По умолчанию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a3">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
    <w:name w:val="С числами"/>
    <w:pPr>
      <w:numPr>
        <w:numId w:val="1"/>
      </w:numPr>
    </w:pPr>
  </w:style>
  <w:style w:type="paragraph" w:styleId="Loendilik">
    <w:name w:val="List Paragraph"/>
    <w:pPr>
      <w:spacing w:after="200" w:line="276" w:lineRule="auto"/>
      <w:ind w:left="720"/>
    </w:pPr>
    <w:rPr>
      <w:rFonts w:ascii="Calibri" w:eastAsia="Calibri" w:hAnsi="Calibri" w:cs="Calibri"/>
      <w:color w:val="000000"/>
      <w:sz w:val="22"/>
      <w:szCs w:val="22"/>
      <w:u w:color="000000"/>
    </w:rPr>
  </w:style>
  <w:style w:type="character" w:styleId="Lahendamatamainimine">
    <w:name w:val="Unresolved Mention"/>
    <w:basedOn w:val="Liguvaikefont"/>
    <w:uiPriority w:val="99"/>
    <w:semiHidden/>
    <w:unhideWhenUsed/>
    <w:rsid w:val="00E23E20"/>
    <w:rPr>
      <w:color w:val="605E5C"/>
      <w:shd w:val="clear" w:color="auto" w:fill="E1DFDD"/>
    </w:rPr>
  </w:style>
  <w:style w:type="paragraph" w:styleId="Jalus">
    <w:name w:val="footer"/>
    <w:basedOn w:val="Normaallaad"/>
    <w:link w:val="JalusMrk"/>
    <w:uiPriority w:val="99"/>
    <w:unhideWhenUsed/>
    <w:rsid w:val="00210023"/>
    <w:pPr>
      <w:tabs>
        <w:tab w:val="center" w:pos="4536"/>
        <w:tab w:val="right" w:pos="9072"/>
      </w:tabs>
    </w:pPr>
  </w:style>
  <w:style w:type="character" w:customStyle="1" w:styleId="JalusMrk">
    <w:name w:val="Jalus Märk"/>
    <w:basedOn w:val="Liguvaikefont"/>
    <w:link w:val="Jalus"/>
    <w:uiPriority w:val="99"/>
    <w:rsid w:val="002100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61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ge.ee/maps/Narva-li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2611</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Suurväli</dc:creator>
  <cp:lastModifiedBy>Peeter Tambu</cp:lastModifiedBy>
  <cp:revision>3</cp:revision>
  <dcterms:created xsi:type="dcterms:W3CDTF">2025-04-22T14:00:00Z</dcterms:created>
  <dcterms:modified xsi:type="dcterms:W3CDTF">2025-04-22T14:02:00Z</dcterms:modified>
</cp:coreProperties>
</file>